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las EUCC que hay en el municipio son:</w:t>
      </w:r>
    </w:p>
    <w:tbl>
      <w:tblGrid>
        <w:gridCol w:w="181450" w:type="dxa"/>
        <w:gridCol w:w="56450" w:type="dxa"/>
        <w:gridCol w:w="2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1450" w:type="pct"/>
          </w:tcPr>
          <w:p>
            <w:pPr/>
            <w:r>
              <w:rPr/>
              <w:t xml:space="preserve"> Fecha</w:t>
            </w:r>
          </w:p>
        </w:tc>
        <w:tc>
          <w:tcPr>
            <w:tcW w:w="56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82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181450" w:type="pct"/>
            <w:vAlign w:val="center"/>
          </w:tcPr>
          <w:p>
            <w:pPr/>
            <w:r>
              <w:rPr/>
              <w:t xml:space="preserve">24/11/2025</w:t>
            </w:r>
          </w:p>
        </w:tc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Certificado de acuerdo del Pleno: “Punto 13.1.- Medida Cautelar: Intervención provisional de la gestión de la Entidad Urbanística de Conservación El Bosque</w:t>
            </w:r>
          </w:p>
        </w:tc>
        <w:tc>
          <w:tcPr>
            <w:tcW w:w="28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2026-06-14T00:58:38+00:00</dcterms:created>
  <dcterms:modified xsi:type="dcterms:W3CDTF">2026-06-14T00:58:38+00:00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