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/>
      <w:r>
        <w:rPr/>
        <w:t xml:space="preserve">En su calidad de Administraciones públicas de carácter territorial, y dentro de la esfera de sus competencias, corresponden en todo caso a los municipios:</w:t>
      </w:r>
    </w:p>
    <w:p>
      <w:pPr/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/>
      <w:r>
        <w:rPr/>
        <w:t xml:space="preserve">Ferias, abastos, mercados, lonjas y comercio ambulante.</w:t>
      </w:r>
    </w:p>
    <w:p>
      <w:pPr/>
      <w:r>
        <w:rPr/>
        <w:t xml:space="preserve">Los Municipios con población superior a 20.000 habitantes deberán prestar, en todo caso, los servicios siguientes: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2026-06-14T00:55:22+00:00</dcterms:created>
  <dcterms:modified xsi:type="dcterms:W3CDTF">2026-06-14T00:55:22+00:00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